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  <w:rtl w:val="0"/>
        </w:rPr>
        <w:t xml:space="preserve">Teacher Checklist - Phonological Awareness Progression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Student’s Name: ________________________________________ Date: ______________________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Teacher: ________________________________________________Grade: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Language spoken at home/school: ___________________________  / __________________________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Does this child demonstrate the ability to: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  <w:tab/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espond to the rhythm/prosodic elements of nursery rhymes, songs, finger plays etc., by imitating vocal patterns?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  <w:tab/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 beginning temporal sequencing, pairing a phrase in a rhyme or song with a corresponding </w:t>
        <w:tab/>
        <w:t xml:space="preserve">movement, picture, or object?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  <w:tab/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isually follow pointing and auditory cues that track from top to bottom and left to right of a </w:t>
        <w:tab/>
        <w:t xml:space="preserve">page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distinguish between pictures and written words in a book (e.g., “Show me the pictures.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Now show me the words”)?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  <w:tab/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espond appropriately to beginning word games (e.g., “What does the cow say?”)?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recognize that some visual symbols stand for an entity (e.g., When this child sees the golden </w:t>
        <w:tab/>
        <w:t xml:space="preserve">arches, does this child say “McDonald’s”)?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nderstand that a word is separate from its meaning and what constitutes a “long” word </w:t>
        <w:tab/>
        <w:t xml:space="preserve">versus a “short” word (e.g.,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caterpillar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 long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snake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 short)?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emonstrate an understanding of the language of literacy: __top, __bottom, __same/not </w:t>
        <w:tab/>
        <w:t xml:space="preserve">the same/different, __first or beginning, __last or ending, __before, __after?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ear and see that portions of words are the same (e.g.,thir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teen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,four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teen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,fif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teen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)? Use rhymes </w:t>
        <w:tab/>
        <w:t xml:space="preserve">where syllables are emphasized (e.g., eenie, meanie ,minie ,mo...)?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egment or count syllables in multisyllabic words?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 top-to-bottom sequencing on a page?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 left-to-right sequencing to sweep across lines in a text?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oint to individual words forreading, even though the words spoken may not be the correct </w:t>
        <w:tab/>
        <w:t xml:space="preserve">ones?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ecognize his or her own written name?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ee his or her own first initial in other words?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ecognize other letters from his or her name in words that he or she sees?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ave sound-to-symbol correspondence for any alphabet letters? Which </w:t>
        <w:tab/>
        <w:t xml:space="preserve">ones?_______________________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hink of a rhyming word for a word given by the teacher? 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egment a two-phoneme word into two parts (e.g.,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sew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into /s/ and /ou/)?</w:t>
      </w:r>
    </w:p>
    <w:p w:rsidR="00000000" w:rsidDel="00000000" w:rsidP="00000000" w:rsidRDefault="00000000" w:rsidRPr="00000000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egment a three-phoneme word into three parts (e.g.,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rope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into /r/, /ou/, /p/)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Teacher Signature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Note. </w:t>
        <w:tab/>
        <w:t xml:space="preserve">See “Facilitating development of preliterate children’s phonological abilities,” by R. Jenkins and L. Bowen, 1994, Topics in 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Language Disorders, 14, (2),  p. 26-39. Copyright 1994. Reprinted with permission.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152" w:top="1152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ambria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Language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6/2012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